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DED73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595949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798B13F0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788E31C" w14:textId="3ACCC472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595949">
        <w:rPr>
          <w:b/>
          <w:sz w:val="28"/>
          <w:szCs w:val="28"/>
        </w:rPr>
        <w:t xml:space="preserve">významných </w:t>
      </w:r>
      <w:r w:rsidR="00595949" w:rsidRPr="00595949">
        <w:rPr>
          <w:b/>
          <w:sz w:val="28"/>
          <w:szCs w:val="28"/>
        </w:rPr>
        <w:t>dodávek/služeb</w:t>
      </w:r>
    </w:p>
    <w:p w14:paraId="097D8C02" w14:textId="79ACD897" w:rsidR="003F489C" w:rsidRPr="00595949" w:rsidRDefault="00DE587C" w:rsidP="00555547">
      <w:pPr>
        <w:pStyle w:val="2nesltext"/>
        <w:jc w:val="center"/>
        <w:rPr>
          <w:b/>
          <w:sz w:val="28"/>
        </w:rPr>
      </w:pPr>
      <w:r w:rsidRPr="00595949">
        <w:rPr>
          <w:b/>
          <w:sz w:val="28"/>
          <w:szCs w:val="28"/>
        </w:rPr>
        <w:t xml:space="preserve">Seznam významných </w:t>
      </w:r>
      <w:r w:rsidR="00595949" w:rsidRPr="00595949">
        <w:rPr>
          <w:b/>
          <w:sz w:val="28"/>
          <w:szCs w:val="28"/>
        </w:rPr>
        <w:t>dodávek/služeb</w:t>
      </w:r>
    </w:p>
    <w:p w14:paraId="3070CC3E" w14:textId="2E2ACEF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0C48F0" w:rsidRPr="003C7913">
        <w:rPr>
          <w:b/>
        </w:rPr>
        <w:t>Technicko-informační systém dopravní infrastruktury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>následující významné</w:t>
      </w:r>
      <w:r w:rsidR="000C48F0" w:rsidRPr="000C48F0">
        <w:t xml:space="preserve"> </w:t>
      </w:r>
      <w:r w:rsidR="000C48F0" w:rsidRPr="000C48F0">
        <w:rPr>
          <w:rFonts w:asciiTheme="minorHAnsi" w:hAnsiTheme="minorHAnsi"/>
        </w:rPr>
        <w:t>dodávk</w:t>
      </w:r>
      <w:r w:rsidR="000C48F0">
        <w:rPr>
          <w:rFonts w:asciiTheme="minorHAnsi" w:hAnsiTheme="minorHAnsi"/>
        </w:rPr>
        <w:t>y</w:t>
      </w:r>
      <w:r w:rsidR="000C48F0" w:rsidRPr="000C48F0">
        <w:rPr>
          <w:rFonts w:asciiTheme="minorHAnsi" w:hAnsiTheme="minorHAnsi"/>
        </w:rPr>
        <w:t>/služb</w:t>
      </w:r>
      <w:r w:rsidR="000C48F0">
        <w:rPr>
          <w:rFonts w:asciiTheme="minorHAnsi" w:hAnsiTheme="minorHAnsi"/>
        </w:rPr>
        <w:t>y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322"/>
      </w:tblGrid>
      <w:tr w:rsidR="00BF0345" w:rsidRPr="00912800" w14:paraId="3F39BAFE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8441B" w14:textId="13A6C6B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="00297C69">
              <w:rPr>
                <w:rFonts w:ascii="Calibri" w:hAnsi="Calibri"/>
                <w:b/>
                <w:caps/>
                <w:sz w:val="22"/>
                <w:szCs w:val="22"/>
              </w:rPr>
              <w:t>DODÁVKA/SLUŽBA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882E86E" w14:textId="77777777" w:rsidTr="000D285A">
        <w:trPr>
          <w:cantSplit/>
          <w:trHeight w:val="1247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C76D6E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11BDCF8F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5613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335398CE" w14:textId="77777777" w:rsidTr="000D285A">
        <w:trPr>
          <w:cantSplit/>
          <w:trHeight w:val="68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1B690D" w14:textId="7E027B5C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 w:rsidR="00EA3E04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EE31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362C9487" w14:textId="77777777" w:rsidTr="000D285A">
        <w:trPr>
          <w:cantSplit/>
          <w:trHeight w:val="1587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19E9DC" w14:textId="2D7C11FE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EA3E04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  <w:p w14:paraId="622D5A49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99A9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7F591FDD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AD85B" w14:textId="46956291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EA3E04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  <w:p w14:paraId="3D5B142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974C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7F413D01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2858A6" w14:textId="6310AFA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EA3E04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  <w:p w14:paraId="3BDD996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71CB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21008" w:rsidRPr="00912800" w14:paraId="438B6B17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81F8B" w14:textId="5170627D" w:rsidR="00121008" w:rsidRPr="00121008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Bylo předmětem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významné dodávky/služby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 xml:space="preserve">dodání a implementace webového portálového řešení v oblasti správy a údržby pozemních komunikací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ve smyslu zákona č. 13/1997 Sb., o pozemních komunikacích, ve znění pozdějších předpisů,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které zahrnovalo alespoň (kumulativně):</w:t>
            </w:r>
          </w:p>
          <w:p w14:paraId="6A01C06E" w14:textId="77777777" w:rsidR="000D285A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prezentaci dat pomocí technologií GIS;</w:t>
            </w:r>
          </w:p>
          <w:p w14:paraId="7B1AEC88" w14:textId="40C1E883" w:rsidR="000D285A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2.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6FD33EC8" w14:textId="5C7B23D8" w:rsidR="000D285A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3.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provozní část s min. dvěma provozními agendami (např. pasport komunikací, závady na komunikacích);</w:t>
            </w:r>
          </w:p>
          <w:p w14:paraId="00A174A4" w14:textId="77777777" w:rsidR="000D285A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4.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vyhodnocovací (tzv. manažerskou) oblast s reporty a přehledy;</w:t>
            </w:r>
          </w:p>
          <w:p w14:paraId="0548AC3E" w14:textId="77777777" w:rsidR="000D285A" w:rsidRDefault="00121008" w:rsidP="000D285A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5.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provedení migrace dat z externích systémů;</w:t>
            </w:r>
          </w:p>
          <w:p w14:paraId="6425CC08" w14:textId="51820D65" w:rsidR="00121008" w:rsidRPr="00DC47C7" w:rsidRDefault="00121008" w:rsidP="000D285A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6.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30D7" w14:textId="1B99C070" w:rsidR="00121008" w:rsidRPr="00555054" w:rsidRDefault="00121008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121008" w:rsidRPr="00912800" w14:paraId="758AED68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4E723" w14:textId="4F901242" w:rsidR="00121008" w:rsidRPr="00A02F3E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02F3E">
              <w:rPr>
                <w:rFonts w:ascii="Calibri" w:hAnsi="Calibri"/>
                <w:bCs/>
                <w:sz w:val="22"/>
                <w:szCs w:val="22"/>
              </w:rPr>
              <w:t>bylo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 xml:space="preserve"> dodání a implementace webového portálového řešení v oblasti správy a údržby pozemních komunikací ve smyslu zákona č. 13/1997 Sb., o pozemních komunikacích, ve znění pozdějších předpisů, které zahrnovalo alespoň (kumulativně):</w:t>
            </w:r>
          </w:p>
          <w:p w14:paraId="05340BE0" w14:textId="77777777" w:rsidR="00121008" w:rsidRPr="00A02F3E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1.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prezentaci dat pomocí technologií GIS; </w:t>
            </w:r>
          </w:p>
          <w:p w14:paraId="38B841E7" w14:textId="77777777" w:rsidR="00121008" w:rsidRPr="00A02F3E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2.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0FC5173C" w14:textId="77777777" w:rsidR="00121008" w:rsidRPr="00A02F3E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3.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provozní část s min. dvěma provozními agendami (např. pasport komunikací, závady na komunikacích); </w:t>
            </w:r>
          </w:p>
          <w:p w14:paraId="171903E2" w14:textId="77777777" w:rsidR="00121008" w:rsidRPr="00A02F3E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4.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vyhodnocovací (tzv. manažerskou) oblast s reporty a přehledy;</w:t>
            </w:r>
          </w:p>
          <w:p w14:paraId="35B6B996" w14:textId="77777777" w:rsidR="00121008" w:rsidRPr="00A02F3E" w:rsidRDefault="00121008" w:rsidP="00121008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5.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provedení migrace dat z externích systémů;</w:t>
            </w:r>
          </w:p>
          <w:p w14:paraId="579C6116" w14:textId="3DFA8A15" w:rsidR="00121008" w:rsidRDefault="00121008" w:rsidP="0012100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6.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7AF6" w14:textId="35D4DEBA" w:rsidR="00121008" w:rsidRPr="00555054" w:rsidRDefault="00121008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2"/>
            </w:r>
          </w:p>
        </w:tc>
      </w:tr>
      <w:tr w:rsidR="005610B9" w:rsidRPr="00912800" w14:paraId="14DE817B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F1A0F" w14:textId="7CB75D58" w:rsidR="005610B9" w:rsidRPr="005610B9" w:rsidRDefault="005610B9" w:rsidP="005610B9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5610B9"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 w:rsidRPr="005610B9">
              <w:rPr>
                <w:rFonts w:ascii="Calibri" w:hAnsi="Calibri" w:cs="Times New Roman"/>
                <w:bCs/>
                <w:sz w:val="22"/>
                <w:szCs w:val="22"/>
              </w:rPr>
              <w:t>významné dodávky/služby</w:t>
            </w:r>
            <w:r w:rsidRPr="005610B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dodání a implementace majetkoprávního informačního systému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 oblasti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dopravního stavitelství,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 xml:space="preserve">přičemž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součástí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významné dodávky/služby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byl modul/aplikace majetkoprávní přípravy staveb?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8ECF" w14:textId="56C9EAFB" w:rsidR="005610B9" w:rsidRPr="00555054" w:rsidRDefault="005610B9" w:rsidP="005610B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5610B9" w:rsidRPr="00912800" w14:paraId="1BDDF765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6F2452" w14:textId="29249D68" w:rsidR="005610B9" w:rsidRDefault="005610B9" w:rsidP="005610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</w:t>
            </w:r>
            <w:r>
              <w:rPr>
                <w:rFonts w:ascii="Calibri" w:hAnsi="Calibri"/>
                <w:bCs/>
                <w:sz w:val="22"/>
                <w:szCs w:val="22"/>
              </w:rPr>
              <w:t>o</w:t>
            </w:r>
            <w:r w:rsidRPr="00101434">
              <w:rPr>
                <w:rFonts w:ascii="Calibri" w:hAnsi="Calibri"/>
                <w:bCs/>
                <w:sz w:val="22"/>
                <w:szCs w:val="22"/>
              </w:rPr>
              <w:t xml:space="preserve"> dodání a implementace majetkoprávního informačního systému v oblasti dopravního stavitelství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0C9F" w14:textId="7A939AC7" w:rsidR="005610B9" w:rsidRPr="00555054" w:rsidRDefault="005610B9" w:rsidP="005610B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3"/>
            </w:r>
          </w:p>
        </w:tc>
      </w:tr>
      <w:tr w:rsidR="006D344B" w:rsidRPr="00912800" w14:paraId="70195A5A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74438" w14:textId="12251436" w:rsidR="006D344B" w:rsidRDefault="006D344B" w:rsidP="006D344B">
            <w:pPr>
              <w:pStyle w:val="3seznam"/>
              <w:numPr>
                <w:ilvl w:val="0"/>
                <w:numId w:val="0"/>
              </w:numPr>
              <w:ind w:left="142"/>
              <w:rPr>
                <w:b/>
              </w:rPr>
            </w:pPr>
            <w:r>
              <w:rPr>
                <w:b/>
              </w:rPr>
              <w:lastRenderedPageBreak/>
              <w:t xml:space="preserve">Bylo předmětem </w:t>
            </w:r>
            <w:r w:rsidRPr="00A02F3E">
              <w:rPr>
                <w:bCs/>
              </w:rPr>
              <w:t>významné dodávky/služby</w:t>
            </w:r>
            <w:r>
              <w:rPr>
                <w:b/>
              </w:rPr>
              <w:t xml:space="preserve"> dodání a implementace informačního systému pro</w:t>
            </w:r>
            <w:r w:rsidRPr="00B8782F">
              <w:rPr>
                <w:b/>
              </w:rPr>
              <w:t xml:space="preserve"> plánování, řízení a kontrol</w:t>
            </w:r>
            <w:r>
              <w:rPr>
                <w:b/>
              </w:rPr>
              <w:t>u</w:t>
            </w:r>
            <w:r w:rsidRPr="00B8782F">
              <w:rPr>
                <w:b/>
              </w:rPr>
              <w:t xml:space="preserve"> zimní a běžné údržby komunikací s</w:t>
            </w:r>
            <w:r>
              <w:rPr>
                <w:b/>
              </w:rPr>
              <w:t> </w:t>
            </w:r>
            <w:r w:rsidRPr="00B8782F">
              <w:rPr>
                <w:b/>
              </w:rPr>
              <w:t>minimálně následujícím obsahem požadovaných funkčností</w:t>
            </w:r>
            <w:r>
              <w:rPr>
                <w:b/>
              </w:rPr>
              <w:t>, služeb či vlastností (kumulativně):</w:t>
            </w:r>
          </w:p>
          <w:p w14:paraId="5430F973" w14:textId="77777777" w:rsidR="006D344B" w:rsidRPr="00E6751B" w:rsidRDefault="006D344B" w:rsidP="006D344B">
            <w:pPr>
              <w:pStyle w:val="4seznam"/>
              <w:tabs>
                <w:tab w:val="clear" w:pos="1474"/>
                <w:tab w:val="left" w:pos="675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E6751B">
              <w:rPr>
                <w:b/>
                <w:bCs/>
              </w:rPr>
              <w:t>perační plán zimní údržby umožňující grafickou definici a editaci okruhů zimní údržby komunikací (</w:t>
            </w:r>
            <w:r>
              <w:rPr>
                <w:b/>
                <w:bCs/>
              </w:rPr>
              <w:t xml:space="preserve">dále jen </w:t>
            </w:r>
            <w:r w:rsidRPr="000B15B7">
              <w:rPr>
                <w:b/>
                <w:bCs/>
                <w:i/>
                <w:iCs w:val="0"/>
              </w:rPr>
              <w:t>„ZÚK“</w:t>
            </w:r>
            <w:r w:rsidRPr="00E6751B">
              <w:rPr>
                <w:b/>
                <w:bCs/>
              </w:rPr>
              <w:t>) nad mapovými podklady a jejich parametrizaci nezbytnou pro automatizované vyhodnocování GPS dat ze sypačů</w:t>
            </w:r>
            <w:r>
              <w:rPr>
                <w:b/>
                <w:bCs/>
              </w:rPr>
              <w:t>;</w:t>
            </w:r>
          </w:p>
          <w:p w14:paraId="75DE9A33" w14:textId="77777777" w:rsidR="006D344B" w:rsidRPr="00E6751B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E6751B">
              <w:rPr>
                <w:b/>
                <w:bCs/>
              </w:rPr>
              <w:t>edení deníku zimní údržby (s automatizovanou vazbou na GPS data z</w:t>
            </w:r>
            <w:r>
              <w:rPr>
                <w:b/>
                <w:bCs/>
              </w:rPr>
              <w:t> </w:t>
            </w:r>
            <w:r w:rsidRPr="00E6751B">
              <w:rPr>
                <w:b/>
                <w:bCs/>
              </w:rPr>
              <w:t>vozidel, zejména vyhodnocením práce nad okruhy ZÚK)</w:t>
            </w:r>
            <w:r>
              <w:rPr>
                <w:b/>
                <w:bCs/>
              </w:rPr>
              <w:t>;</w:t>
            </w:r>
          </w:p>
          <w:p w14:paraId="77CE862B" w14:textId="77777777" w:rsidR="006D344B" w:rsidRPr="00E6751B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E6751B">
              <w:rPr>
                <w:b/>
                <w:bCs/>
              </w:rPr>
              <w:t>rafickou i mapovou analýzu GPS dat z vozidel údržby komunikací, a to jak v</w:t>
            </w:r>
            <w:r>
              <w:rPr>
                <w:b/>
                <w:bCs/>
              </w:rPr>
              <w:t> </w:t>
            </w:r>
            <w:r w:rsidRPr="00E6751B">
              <w:rPr>
                <w:b/>
                <w:bCs/>
              </w:rPr>
              <w:t xml:space="preserve">reálném čase, tak zpětně (prohlížením online i historických dat), </w:t>
            </w:r>
          </w:p>
          <w:p w14:paraId="48FE1256" w14:textId="77777777" w:rsidR="006D344B" w:rsidRPr="00E6751B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E6751B">
              <w:rPr>
                <w:b/>
                <w:bCs/>
              </w:rPr>
              <w:t>ožnost uživatelské definice upozornění na zájmové stavy nad GPS daty (např. opuštění okruhu ZÚK, vykonávání jiného než požadovaného typu práce na okruhu, prostoje a podobně)</w:t>
            </w:r>
            <w:r>
              <w:rPr>
                <w:b/>
                <w:bCs/>
              </w:rPr>
              <w:t>;</w:t>
            </w:r>
          </w:p>
          <w:p w14:paraId="6B801B84" w14:textId="57A7D266" w:rsidR="006D344B" w:rsidRPr="00675E67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E6751B">
              <w:rPr>
                <w:b/>
                <w:bCs/>
              </w:rPr>
              <w:t xml:space="preserve">oučástí této </w:t>
            </w:r>
            <w:r>
              <w:rPr>
                <w:b/>
                <w:bCs/>
              </w:rPr>
              <w:t>významné dodávky/služby</w:t>
            </w:r>
            <w:r w:rsidRPr="00E6751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bylo </w:t>
            </w:r>
            <w:r w:rsidRPr="000B15B7">
              <w:rPr>
                <w:b/>
                <w:bCs/>
              </w:rPr>
              <w:t xml:space="preserve">poskytování služeb nepřetržité servisní podpory </w:t>
            </w:r>
            <w:r>
              <w:rPr>
                <w:b/>
                <w:bCs/>
              </w:rPr>
              <w:t xml:space="preserve">informačního systému </w:t>
            </w:r>
            <w:r w:rsidRPr="000B15B7">
              <w:rPr>
                <w:b/>
                <w:bCs/>
              </w:rPr>
              <w:t xml:space="preserve">(24/7) </w:t>
            </w:r>
            <w:r w:rsidRPr="00E6751B">
              <w:rPr>
                <w:b/>
                <w:bCs/>
              </w:rPr>
              <w:t>v</w:t>
            </w:r>
            <w:r>
              <w:rPr>
                <w:b/>
                <w:bCs/>
              </w:rPr>
              <w:t xml:space="preserve"> minimálně jednom celém </w:t>
            </w:r>
            <w:r w:rsidRPr="00E6751B">
              <w:rPr>
                <w:b/>
                <w:bCs/>
              </w:rPr>
              <w:t>zimním období</w:t>
            </w:r>
            <w:r>
              <w:rPr>
                <w:b/>
                <w:bCs/>
              </w:rPr>
              <w:t xml:space="preserve"> (minimálně od 1.11. do 31.3.)?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7BE2" w14:textId="1B20D865" w:rsidR="006D344B" w:rsidRPr="00555054" w:rsidRDefault="00837B8C" w:rsidP="006D344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6D344B" w:rsidRPr="00912800" w14:paraId="3393E300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D70CD" w14:textId="1697A8D4" w:rsidR="006D344B" w:rsidRPr="00675E67" w:rsidRDefault="006D344B" w:rsidP="006D344B">
            <w:pPr>
              <w:pStyle w:val="3seznam"/>
              <w:numPr>
                <w:ilvl w:val="0"/>
                <w:numId w:val="0"/>
              </w:numPr>
              <w:ind w:left="142"/>
              <w:rPr>
                <w:bCs/>
              </w:rPr>
            </w:pPr>
            <w:r w:rsidRPr="008A006E">
              <w:rPr>
                <w:bCs/>
              </w:rPr>
              <w:lastRenderedPageBreak/>
              <w:t xml:space="preserve">V jakém </w:t>
            </w:r>
            <w:r w:rsidRPr="008A006E">
              <w:rPr>
                <w:b/>
              </w:rPr>
              <w:t>finančním objemu</w:t>
            </w:r>
            <w:r w:rsidRPr="008A006E">
              <w:rPr>
                <w:bCs/>
              </w:rPr>
              <w:t xml:space="preserve"> </w:t>
            </w:r>
            <w:r w:rsidRPr="00A02F3E">
              <w:rPr>
                <w:bCs/>
              </w:rPr>
              <w:t>bylo</w:t>
            </w:r>
            <w:r w:rsidRPr="00675E67">
              <w:rPr>
                <w:bCs/>
              </w:rPr>
              <w:t xml:space="preserve"> dodání a implementace informačního systému pro plánování, řízení a kontrolu zimní a běžné údržby komunikací s minimálně následujícím obsahem požadovaných funkčností, služeb či vlastností (kumulativně):</w:t>
            </w:r>
          </w:p>
          <w:p w14:paraId="603D2011" w14:textId="77777777" w:rsidR="006D344B" w:rsidRPr="00675E67" w:rsidRDefault="006D344B" w:rsidP="006D344B">
            <w:pPr>
              <w:pStyle w:val="4seznam"/>
              <w:numPr>
                <w:ilvl w:val="3"/>
                <w:numId w:val="35"/>
              </w:numPr>
              <w:tabs>
                <w:tab w:val="clear" w:pos="1474"/>
                <w:tab w:val="left" w:pos="675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 xml:space="preserve">operační plán zimní údržby umožňující grafickou definici a editaci okruhů zimní údržby komunikací (dále jen </w:t>
            </w:r>
            <w:r w:rsidRPr="00675E67">
              <w:rPr>
                <w:bCs/>
                <w:i/>
                <w:iCs w:val="0"/>
              </w:rPr>
              <w:t>„ZÚK“</w:t>
            </w:r>
            <w:r w:rsidRPr="00675E67">
              <w:rPr>
                <w:bCs/>
              </w:rPr>
              <w:t>) nad mapovými podklady a jejich parametrizaci nezbytnou pro automatizované vyhodnocování GPS dat ze sypačů;</w:t>
            </w:r>
          </w:p>
          <w:p w14:paraId="240423D7" w14:textId="77777777" w:rsidR="006D344B" w:rsidRPr="00675E67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vedení deníku zimní údržby (s automatizovanou vazbou na GPS data z vozidel, zejména vyhodnocením práce nad okruhy ZÚK);</w:t>
            </w:r>
          </w:p>
          <w:p w14:paraId="4DDFA5A7" w14:textId="77777777" w:rsidR="006D344B" w:rsidRPr="00675E67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 xml:space="preserve">grafickou i mapovou analýzu GPS dat z vozidel údržby komunikací, a to jak v reálném čase, tak zpětně (prohlížením online i historických dat), </w:t>
            </w:r>
          </w:p>
          <w:p w14:paraId="17E2DA80" w14:textId="77777777" w:rsidR="006D344B" w:rsidRPr="00675E67" w:rsidRDefault="006D344B" w:rsidP="006D344B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možnost uživatelské definice upozornění na zájmové stavy nad GPS daty (např. opuštění okruhu ZÚK, vykonávání jiného než požadovaného typu práce na okruhu, prostoje a podobně);</w:t>
            </w:r>
          </w:p>
          <w:p w14:paraId="0DCE8E8A" w14:textId="45366A08" w:rsidR="006D344B" w:rsidRDefault="006D344B" w:rsidP="00945930">
            <w:pPr>
              <w:pStyle w:val="4seznam"/>
              <w:tabs>
                <w:tab w:val="clear" w:pos="1474"/>
              </w:tabs>
              <w:ind w:left="142" w:firstLine="1"/>
              <w:rPr>
                <w:b/>
              </w:rPr>
            </w:pPr>
            <w:r w:rsidRPr="00675E67">
              <w:rPr>
                <w:bCs/>
              </w:rPr>
              <w:t>součástí této významné dodávky/služby bylo poskytování služeb nepřetržité servisní podpory informačního systému (24/7) v minimálně jednom celém zimním období (minimálně od 1.11. do 31.3.)?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FD9A" w14:textId="561A6C96" w:rsidR="006D344B" w:rsidRPr="00555054" w:rsidRDefault="00837B8C" w:rsidP="006D344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4"/>
            </w:r>
          </w:p>
        </w:tc>
      </w:tr>
      <w:tr w:rsidR="0052213F" w:rsidRPr="00912800" w14:paraId="735FF2B5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63E314" w14:textId="211A0820" w:rsidR="0052213F" w:rsidRPr="008A006E" w:rsidRDefault="0052213F" w:rsidP="0052213F">
            <w:pPr>
              <w:pStyle w:val="3seznam"/>
              <w:numPr>
                <w:ilvl w:val="0"/>
                <w:numId w:val="0"/>
              </w:numPr>
              <w:ind w:left="142"/>
              <w:rPr>
                <w:bCs/>
              </w:rPr>
            </w:pPr>
            <w:r>
              <w:rPr>
                <w:b/>
              </w:rPr>
              <w:t xml:space="preserve">Bylo předmětem </w:t>
            </w:r>
            <w:r w:rsidRPr="00A02F3E">
              <w:rPr>
                <w:bCs/>
              </w:rPr>
              <w:t>významné dodávky/služby</w:t>
            </w:r>
            <w:r w:rsidRPr="0052213F">
              <w:rPr>
                <w:bCs/>
              </w:rPr>
              <w:t xml:space="preserve"> </w:t>
            </w:r>
            <w:r w:rsidRPr="0052213F">
              <w:rPr>
                <w:b/>
              </w:rPr>
              <w:t>dodání a implementace informačního systému pro správu a vedení pasportů s integrací na mapové řešení</w:t>
            </w:r>
            <w:r w:rsidRPr="0052213F">
              <w:rPr>
                <w:bCs/>
              </w:rPr>
              <w:t xml:space="preserve"> (např. digitální technickou mapu, digitální mapu komunikací atd.)</w:t>
            </w:r>
            <w:r>
              <w:rPr>
                <w:bCs/>
              </w:rPr>
              <w:t>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5F9D" w14:textId="64D6C9FB" w:rsidR="0052213F" w:rsidRDefault="0052213F" w:rsidP="0052213F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52213F" w:rsidRPr="00912800" w14:paraId="63BF526D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0300E2" w14:textId="6CFABCA5" w:rsidR="0052213F" w:rsidRPr="008A006E" w:rsidRDefault="0052213F" w:rsidP="0052213F">
            <w:pPr>
              <w:pStyle w:val="3seznam"/>
              <w:numPr>
                <w:ilvl w:val="0"/>
                <w:numId w:val="0"/>
              </w:numPr>
              <w:ind w:left="142"/>
              <w:rPr>
                <w:bCs/>
              </w:rPr>
            </w:pPr>
            <w:r w:rsidRPr="008A006E">
              <w:rPr>
                <w:bCs/>
              </w:rPr>
              <w:t xml:space="preserve">V jakém </w:t>
            </w:r>
            <w:r w:rsidRPr="008A006E">
              <w:rPr>
                <w:b/>
              </w:rPr>
              <w:t>finančním objemu</w:t>
            </w:r>
            <w:r w:rsidRPr="008A006E">
              <w:rPr>
                <w:bCs/>
              </w:rPr>
              <w:t xml:space="preserve"> </w:t>
            </w:r>
            <w:r w:rsidRPr="00A02F3E">
              <w:rPr>
                <w:bCs/>
              </w:rPr>
              <w:t>bylo</w:t>
            </w:r>
            <w:r w:rsidRPr="0052213F">
              <w:rPr>
                <w:b/>
              </w:rPr>
              <w:t xml:space="preserve"> </w:t>
            </w:r>
            <w:r w:rsidRPr="0052213F">
              <w:rPr>
                <w:bCs/>
              </w:rPr>
              <w:t>dodání a implementace informačního systému pro správu a vedení pasportů s integrací na</w:t>
            </w:r>
            <w:r w:rsidRPr="0052213F">
              <w:rPr>
                <w:b/>
              </w:rPr>
              <w:t xml:space="preserve"> mapové řešení</w:t>
            </w:r>
            <w:r w:rsidRPr="0052213F">
              <w:rPr>
                <w:bCs/>
              </w:rPr>
              <w:t xml:space="preserve"> (např. digitální technickou mapu, digitální mapu komunikací atd.)</w:t>
            </w:r>
            <w:r>
              <w:rPr>
                <w:bCs/>
              </w:rPr>
              <w:t>?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5BA" w14:textId="3FF1209D" w:rsidR="0052213F" w:rsidRDefault="0052213F" w:rsidP="0052213F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5"/>
            </w:r>
          </w:p>
        </w:tc>
      </w:tr>
      <w:tr w:rsidR="00A01409" w:rsidRPr="00912800" w14:paraId="3EC68DE0" w14:textId="77777777" w:rsidTr="000D285A">
        <w:trPr>
          <w:cantSplit/>
          <w:trHeight w:val="1020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E3B6A" w14:textId="3747792A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EA3E04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0248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698ADA26" w14:textId="77777777" w:rsidTr="000D285A">
        <w:trPr>
          <w:cantSplit/>
          <w:trHeight w:val="1247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D9ED1" w14:textId="62F9BB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EA3E04">
              <w:rPr>
                <w:rFonts w:asciiTheme="minorHAnsi" w:hAnsiTheme="minorHAnsi"/>
                <w:sz w:val="22"/>
                <w:szCs w:val="22"/>
              </w:rPr>
              <w:t>dodávku/službu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102ACF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4EEF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EDFCDE8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3AEAF88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4E06B2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363D3D3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7C2147A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E92193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0F7C" w14:textId="77777777" w:rsidR="00E92193" w:rsidRDefault="00E92193">
      <w:r>
        <w:separator/>
      </w:r>
    </w:p>
  </w:endnote>
  <w:endnote w:type="continuationSeparator" w:id="0">
    <w:p w14:paraId="131FE4FD" w14:textId="77777777" w:rsidR="00E92193" w:rsidRDefault="00E9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0FB5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2553F1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F230" w14:textId="27BF9CE3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 w:rsidRPr="00EA3E04">
      <w:rPr>
        <w:rFonts w:ascii="Calibri" w:hAnsi="Calibri"/>
        <w:sz w:val="22"/>
      </w:rPr>
      <w:t xml:space="preserve">Kvalifikační dokumentace </w:t>
    </w:r>
    <w:r w:rsidR="00EA3E04" w:rsidRPr="00EA3E04">
      <w:rPr>
        <w:rFonts w:ascii="Calibri" w:hAnsi="Calibri"/>
        <w:b/>
        <w:sz w:val="22"/>
        <w:szCs w:val="22"/>
      </w:rPr>
      <w:t xml:space="preserve">SUSJMKTISDI0923 </w:t>
    </w:r>
    <w:r w:rsidRPr="00EA3E04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01D6C" w14:textId="77777777" w:rsidR="00E92193" w:rsidRDefault="00E92193">
      <w:r>
        <w:separator/>
      </w:r>
    </w:p>
  </w:footnote>
  <w:footnote w:type="continuationSeparator" w:id="0">
    <w:p w14:paraId="6C7F7230" w14:textId="77777777" w:rsidR="00E92193" w:rsidRDefault="00E92193">
      <w:r>
        <w:continuationSeparator/>
      </w:r>
    </w:p>
  </w:footnote>
  <w:footnote w:id="1">
    <w:p w14:paraId="53ECD27C" w14:textId="76D00301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EA3E04">
        <w:rPr>
          <w:rFonts w:ascii="Calibri" w:hAnsi="Calibri"/>
          <w:b/>
          <w:i/>
          <w:sz w:val="22"/>
          <w:szCs w:val="22"/>
        </w:rPr>
        <w:t>dodávek/služeb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2">
    <w:p w14:paraId="427159CA" w14:textId="77777777" w:rsidR="00121008" w:rsidRDefault="00121008" w:rsidP="00121008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3">
    <w:p w14:paraId="0BA5CEFD" w14:textId="77777777" w:rsidR="005610B9" w:rsidRDefault="005610B9" w:rsidP="00121008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4">
    <w:p w14:paraId="53A36038" w14:textId="77777777" w:rsidR="00837B8C" w:rsidRDefault="00837B8C" w:rsidP="00837B8C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5">
    <w:p w14:paraId="207CF184" w14:textId="77777777" w:rsidR="0052213F" w:rsidRDefault="0052213F" w:rsidP="00121008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6296183">
    <w:abstractNumId w:val="31"/>
  </w:num>
  <w:num w:numId="2" w16cid:durableId="933972968">
    <w:abstractNumId w:val="9"/>
  </w:num>
  <w:num w:numId="3" w16cid:durableId="1467773886">
    <w:abstractNumId w:val="27"/>
  </w:num>
  <w:num w:numId="4" w16cid:durableId="376903575">
    <w:abstractNumId w:val="6"/>
  </w:num>
  <w:num w:numId="5" w16cid:durableId="1747069819">
    <w:abstractNumId w:val="8"/>
  </w:num>
  <w:num w:numId="6" w16cid:durableId="1942102355">
    <w:abstractNumId w:val="3"/>
  </w:num>
  <w:num w:numId="7" w16cid:durableId="1656107233">
    <w:abstractNumId w:val="35"/>
  </w:num>
  <w:num w:numId="8" w16cid:durableId="315299555">
    <w:abstractNumId w:val="12"/>
  </w:num>
  <w:num w:numId="9" w16cid:durableId="1062367370">
    <w:abstractNumId w:val="14"/>
  </w:num>
  <w:num w:numId="10" w16cid:durableId="1863132269">
    <w:abstractNumId w:val="33"/>
  </w:num>
  <w:num w:numId="11" w16cid:durableId="1636833108">
    <w:abstractNumId w:val="10"/>
  </w:num>
  <w:num w:numId="12" w16cid:durableId="966859839">
    <w:abstractNumId w:val="22"/>
  </w:num>
  <w:num w:numId="13" w16cid:durableId="1263957434">
    <w:abstractNumId w:val="28"/>
  </w:num>
  <w:num w:numId="14" w16cid:durableId="458454959">
    <w:abstractNumId w:val="32"/>
  </w:num>
  <w:num w:numId="15" w16cid:durableId="333922648">
    <w:abstractNumId w:val="4"/>
  </w:num>
  <w:num w:numId="16" w16cid:durableId="1930891130">
    <w:abstractNumId w:val="7"/>
  </w:num>
  <w:num w:numId="17" w16cid:durableId="802311852">
    <w:abstractNumId w:val="26"/>
  </w:num>
  <w:num w:numId="18" w16cid:durableId="905412126">
    <w:abstractNumId w:val="16"/>
  </w:num>
  <w:num w:numId="19" w16cid:durableId="657809925">
    <w:abstractNumId w:val="20"/>
  </w:num>
  <w:num w:numId="20" w16cid:durableId="1510219628">
    <w:abstractNumId w:val="34"/>
  </w:num>
  <w:num w:numId="21" w16cid:durableId="120805428">
    <w:abstractNumId w:val="29"/>
  </w:num>
  <w:num w:numId="22" w16cid:durableId="1042636550">
    <w:abstractNumId w:val="25"/>
  </w:num>
  <w:num w:numId="23" w16cid:durableId="200824940">
    <w:abstractNumId w:val="30"/>
  </w:num>
  <w:num w:numId="24" w16cid:durableId="1431464448">
    <w:abstractNumId w:val="15"/>
  </w:num>
  <w:num w:numId="25" w16cid:durableId="825586946">
    <w:abstractNumId w:val="17"/>
  </w:num>
  <w:num w:numId="26" w16cid:durableId="1908952324">
    <w:abstractNumId w:val="11"/>
  </w:num>
  <w:num w:numId="27" w16cid:durableId="2047565105">
    <w:abstractNumId w:val="0"/>
  </w:num>
  <w:num w:numId="28" w16cid:durableId="1022826440">
    <w:abstractNumId w:val="13"/>
  </w:num>
  <w:num w:numId="29" w16cid:durableId="1080979396">
    <w:abstractNumId w:val="24"/>
  </w:num>
  <w:num w:numId="30" w16cid:durableId="1195920877">
    <w:abstractNumId w:val="23"/>
  </w:num>
  <w:num w:numId="31" w16cid:durableId="678236769">
    <w:abstractNumId w:val="5"/>
  </w:num>
  <w:num w:numId="32" w16cid:durableId="917597144">
    <w:abstractNumId w:val="19"/>
  </w:num>
  <w:num w:numId="33" w16cid:durableId="1426876396">
    <w:abstractNumId w:val="18"/>
  </w:num>
  <w:num w:numId="34" w16cid:durableId="1970429437">
    <w:abstractNumId w:val="21"/>
  </w:num>
  <w:num w:numId="35" w16cid:durableId="9360572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8416359">
    <w:abstractNumId w:val="21"/>
  </w:num>
  <w:num w:numId="37" w16cid:durableId="1486046940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2912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48F0"/>
    <w:rsid w:val="000C7231"/>
    <w:rsid w:val="000D0808"/>
    <w:rsid w:val="000D191D"/>
    <w:rsid w:val="000D1E94"/>
    <w:rsid w:val="000D285A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434"/>
    <w:rsid w:val="00101C6B"/>
    <w:rsid w:val="00103249"/>
    <w:rsid w:val="001066C0"/>
    <w:rsid w:val="00106916"/>
    <w:rsid w:val="00112C87"/>
    <w:rsid w:val="0011557C"/>
    <w:rsid w:val="001164C7"/>
    <w:rsid w:val="001206F5"/>
    <w:rsid w:val="00121008"/>
    <w:rsid w:val="00124E08"/>
    <w:rsid w:val="00125320"/>
    <w:rsid w:val="00141DA6"/>
    <w:rsid w:val="001428C2"/>
    <w:rsid w:val="0014345A"/>
    <w:rsid w:val="0014668F"/>
    <w:rsid w:val="00156D67"/>
    <w:rsid w:val="0016291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97C6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754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213F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10B9"/>
    <w:rsid w:val="005770CB"/>
    <w:rsid w:val="00577F61"/>
    <w:rsid w:val="00582004"/>
    <w:rsid w:val="00582BB4"/>
    <w:rsid w:val="00584B7C"/>
    <w:rsid w:val="0059457B"/>
    <w:rsid w:val="00595949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E67"/>
    <w:rsid w:val="00684349"/>
    <w:rsid w:val="006A06C1"/>
    <w:rsid w:val="006A0AA9"/>
    <w:rsid w:val="006A0E13"/>
    <w:rsid w:val="006A2D11"/>
    <w:rsid w:val="006A3D96"/>
    <w:rsid w:val="006B27E9"/>
    <w:rsid w:val="006B41FF"/>
    <w:rsid w:val="006B49C0"/>
    <w:rsid w:val="006B5D29"/>
    <w:rsid w:val="006B66A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44B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37B8C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930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2F3E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7EE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2193"/>
    <w:rsid w:val="00E937D3"/>
    <w:rsid w:val="00EA073D"/>
    <w:rsid w:val="00EA08B1"/>
    <w:rsid w:val="00EA1A99"/>
    <w:rsid w:val="00EA3E04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1A5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customStyle="1" w:styleId="1nadpis">
    <w:name w:val="1nadpis"/>
    <w:basedOn w:val="Normln"/>
    <w:qFormat/>
    <w:rsid w:val="00675E67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75E67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675E67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675E67"/>
    <w:pPr>
      <w:numPr>
        <w:ilvl w:val="3"/>
        <w:numId w:val="3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675E67"/>
    <w:rPr>
      <w:rFonts w:ascii="Calibri" w:eastAsia="Calibri" w:hAnsi="Calibri"/>
      <w:iCs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837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E4D6F-1A2B-45E5-A7B4-6329DDCB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2024-03-12T14:36:00Z</dcterms:modified>
</cp:coreProperties>
</file>